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BE29C" w14:textId="34B20B65" w:rsidR="00CF5C19" w:rsidRDefault="0088570E"/>
    <w:p w14:paraId="2D6C0486" w14:textId="756E4EA8" w:rsidR="005B07BE" w:rsidRPr="0088570E" w:rsidRDefault="0088570E" w:rsidP="005B07BE">
      <w:pPr>
        <w:jc w:val="center"/>
        <w:rPr>
          <w:b/>
          <w:bCs/>
        </w:rPr>
      </w:pPr>
      <w:r w:rsidRPr="0088570E">
        <w:rPr>
          <w:b/>
          <w:bCs/>
        </w:rPr>
        <w:t xml:space="preserve">Study Finds Patient Outcomes </w:t>
      </w:r>
      <w:proofErr w:type="gramStart"/>
      <w:r w:rsidRPr="0088570E">
        <w:rPr>
          <w:b/>
          <w:bCs/>
        </w:rPr>
        <w:t>At</w:t>
      </w:r>
      <w:proofErr w:type="gramEnd"/>
      <w:r w:rsidRPr="0088570E">
        <w:rPr>
          <w:b/>
          <w:bCs/>
        </w:rPr>
        <w:t xml:space="preserve"> One Year After Surgery Reliably Predict Longer-Term Outcomes </w:t>
      </w:r>
    </w:p>
    <w:p w14:paraId="3BCA1589" w14:textId="52A8FD96" w:rsidR="005B07BE" w:rsidRDefault="005B07BE"/>
    <w:p w14:paraId="38155502" w14:textId="1F1D082B" w:rsidR="005B07BE" w:rsidRDefault="005B07BE">
      <w:r w:rsidRPr="005B07BE">
        <w:rPr>
          <w:b/>
          <w:bCs/>
        </w:rPr>
        <w:t>For Immediate Release</w:t>
      </w:r>
      <w:r w:rsidRPr="005B07BE">
        <w:br/>
      </w:r>
      <w:r w:rsidRPr="005B07BE">
        <w:rPr>
          <w:b/>
          <w:bCs/>
        </w:rPr>
        <w:t xml:space="preserve">November </w:t>
      </w:r>
      <w:r w:rsidR="00A07F61">
        <w:rPr>
          <w:b/>
          <w:bCs/>
        </w:rPr>
        <w:t>14</w:t>
      </w:r>
      <w:r w:rsidRPr="005B07BE">
        <w:rPr>
          <w:b/>
          <w:bCs/>
        </w:rPr>
        <w:t>, 202</w:t>
      </w:r>
      <w:r w:rsidR="00A07F61">
        <w:rPr>
          <w:b/>
          <w:bCs/>
        </w:rPr>
        <w:t>1</w:t>
      </w:r>
    </w:p>
    <w:p w14:paraId="5B933EEB" w14:textId="45EACBB8" w:rsidR="00A07F61" w:rsidRDefault="005B07BE" w:rsidP="00A07F61">
      <w:r>
        <w:t xml:space="preserve">Dallas – </w:t>
      </w:r>
      <w:r w:rsidR="00E14DC4">
        <w:t xml:space="preserve">A presentation at the 2021 AAHKS Annual Meeting </w:t>
      </w:r>
      <w:r w:rsidR="00A07F61">
        <w:t xml:space="preserve">examined whether the </w:t>
      </w:r>
      <w:r w:rsidR="00E200CC">
        <w:t>two</w:t>
      </w:r>
      <w:r w:rsidR="00A07F61">
        <w:t>-year minimum follow</w:t>
      </w:r>
      <w:r w:rsidR="00B4281B">
        <w:t xml:space="preserve"> </w:t>
      </w:r>
      <w:r w:rsidR="00A07F61">
        <w:t xml:space="preserve">up after total knee arthroplasty (TKA) required by most academic journals </w:t>
      </w:r>
      <w:r w:rsidR="004201AB">
        <w:t>was</w:t>
      </w:r>
      <w:r w:rsidR="00A07F61">
        <w:t xml:space="preserve"> necessary</w:t>
      </w:r>
      <w:r w:rsidR="00A07F61" w:rsidRPr="00A07F61">
        <w:rPr>
          <w:rFonts w:ascii="Calibri" w:eastAsia="Times New Roman" w:hAnsi="Calibri" w:cs="Calibri"/>
          <w:color w:val="201F1E"/>
        </w:rPr>
        <w:t xml:space="preserve"> </w:t>
      </w:r>
      <w:r w:rsidR="00A07F61">
        <w:rPr>
          <w:rFonts w:ascii="Calibri" w:eastAsia="Times New Roman" w:hAnsi="Calibri" w:cs="Calibri"/>
          <w:color w:val="201F1E"/>
        </w:rPr>
        <w:t xml:space="preserve">for an </w:t>
      </w:r>
      <w:r w:rsidR="00A07F61" w:rsidRPr="00214392">
        <w:rPr>
          <w:rFonts w:ascii="Calibri" w:eastAsia="Times New Roman" w:hAnsi="Calibri" w:cs="Calibri"/>
          <w:color w:val="201F1E"/>
        </w:rPr>
        <w:t>accurate assessment of patient outcomes after primary TKA</w:t>
      </w:r>
      <w:r w:rsidR="00A07F61">
        <w:t xml:space="preserve">. </w:t>
      </w:r>
    </w:p>
    <w:p w14:paraId="0B6085E4" w14:textId="1FE56A62" w:rsidR="00A07F61" w:rsidRPr="003C2436" w:rsidRDefault="00CC6107" w:rsidP="00CC6107">
      <w:r w:rsidRPr="003C2436">
        <w:t>T</w:t>
      </w:r>
      <w:r w:rsidR="004201AB">
        <w:t>he t</w:t>
      </w:r>
      <w:r w:rsidRPr="003C2436">
        <w:t>wo-year follow</w:t>
      </w:r>
      <w:r w:rsidR="00334B7A">
        <w:t>-</w:t>
      </w:r>
      <w:r w:rsidRPr="003C2436">
        <w:t xml:space="preserve">up requirement is based on </w:t>
      </w:r>
      <w:r w:rsidR="00A07F61" w:rsidRPr="003C2436">
        <w:t xml:space="preserve">historical implant survivorship studies rather than </w:t>
      </w:r>
      <w:r w:rsidRPr="003C2436">
        <w:t>patient-reported outcome measures (</w:t>
      </w:r>
      <w:r w:rsidR="00A07F61" w:rsidRPr="003C2436">
        <w:t>PROMs)</w:t>
      </w:r>
      <w:r w:rsidR="00334B7A">
        <w:t>. T</w:t>
      </w:r>
      <w:r w:rsidR="003C2436" w:rsidRPr="003C2436">
        <w:t>he</w:t>
      </w:r>
      <w:r w:rsidR="00A07F61" w:rsidRPr="003C2436">
        <w:t xml:space="preserve"> COVID-19 pandemic </w:t>
      </w:r>
      <w:r w:rsidRPr="003C2436">
        <w:t xml:space="preserve">limited in-person </w:t>
      </w:r>
      <w:r w:rsidR="00A07F61" w:rsidRPr="003C2436">
        <w:t xml:space="preserve">clinic visits </w:t>
      </w:r>
      <w:r w:rsidR="003C2436" w:rsidRPr="003C2436">
        <w:t>and made obtaining two-year follow-up PROMS difficult</w:t>
      </w:r>
      <w:r w:rsidR="00A07F61" w:rsidRPr="003C2436">
        <w:t xml:space="preserve">. This study </w:t>
      </w:r>
      <w:r w:rsidR="003C2436" w:rsidRPr="003C2436">
        <w:t>sought</w:t>
      </w:r>
      <w:r w:rsidR="00A07F61" w:rsidRPr="003C2436">
        <w:t xml:space="preserve"> to determine if clinically meaningful differences are observed in PROMs beyond the first year following TKA.</w:t>
      </w:r>
    </w:p>
    <w:p w14:paraId="5F4C37BF" w14:textId="74FACB27" w:rsidR="00A07F61" w:rsidRDefault="00A07F61">
      <w:r>
        <w:t>Researchers performed a retrospective review of prospectively collected</w:t>
      </w:r>
      <w:r w:rsidR="00CC6107">
        <w:t xml:space="preserve"> PROMs</w:t>
      </w:r>
      <w:r>
        <w:t xml:space="preserve"> for 1,093 primary TKAs at an academic center. Patients rated changes in pain, function, activity level, and satisfaction; results were compared at four follow-up intervals—preoperatively, </w:t>
      </w:r>
      <w:r w:rsidR="0085025C">
        <w:t xml:space="preserve">four </w:t>
      </w:r>
      <w:r>
        <w:t xml:space="preserve">months, </w:t>
      </w:r>
      <w:r w:rsidR="0085025C">
        <w:t xml:space="preserve">one </w:t>
      </w:r>
      <w:r>
        <w:t xml:space="preserve">year, and minimum </w:t>
      </w:r>
      <w:r w:rsidR="0085025C">
        <w:t xml:space="preserve">two </w:t>
      </w:r>
      <w:r>
        <w:t>years using repeated measures analysis.</w:t>
      </w:r>
    </w:p>
    <w:p w14:paraId="1D5B2142" w14:textId="7E52E868" w:rsidR="006A7221" w:rsidRDefault="00A07F61">
      <w:r>
        <w:t xml:space="preserve">Lead author </w:t>
      </w:r>
      <w:r w:rsidRPr="00A07F61">
        <w:t xml:space="preserve">Abhijit </w:t>
      </w:r>
      <w:proofErr w:type="spellStart"/>
      <w:r w:rsidRPr="00A07F61">
        <w:t>Seetharam</w:t>
      </w:r>
      <w:proofErr w:type="spellEnd"/>
      <w:r w:rsidRPr="00A07F61">
        <w:t>, MD,</w:t>
      </w:r>
      <w:r>
        <w:t xml:space="preserve"> and co-authors</w:t>
      </w:r>
      <w:r w:rsidRPr="00A07F61">
        <w:t xml:space="preserve"> Evan R. Deckard, BS, Mary Ziemba-Davis, BA, </w:t>
      </w:r>
      <w:r w:rsidR="00865D77">
        <w:t xml:space="preserve">and </w:t>
      </w:r>
      <w:r w:rsidRPr="00A07F61">
        <w:t xml:space="preserve">R. Michael </w:t>
      </w:r>
      <w:proofErr w:type="spellStart"/>
      <w:r w:rsidRPr="00A07F61">
        <w:t>Meneghini</w:t>
      </w:r>
      <w:proofErr w:type="spellEnd"/>
      <w:r w:rsidRPr="00A07F61">
        <w:t>, MD</w:t>
      </w:r>
      <w:r>
        <w:t xml:space="preserve">, found </w:t>
      </w:r>
      <w:r w:rsidR="003C2436">
        <w:t xml:space="preserve">that </w:t>
      </w:r>
      <w:r w:rsidR="00A50F25">
        <w:t xml:space="preserve">PROMs at pre-surgery, </w:t>
      </w:r>
      <w:r w:rsidR="0085025C">
        <w:t>four</w:t>
      </w:r>
      <w:r w:rsidR="000801A7">
        <w:t xml:space="preserve"> months after, and </w:t>
      </w:r>
      <w:r w:rsidR="0085025C">
        <w:t>one</w:t>
      </w:r>
      <w:r w:rsidR="000801A7">
        <w:t xml:space="preserve"> year after surgery </w:t>
      </w:r>
      <w:r w:rsidR="000801A7" w:rsidRPr="000801A7">
        <w:t>improved with statistical and clinical significance</w:t>
      </w:r>
      <w:r w:rsidR="000801A7">
        <w:t xml:space="preserve">. However, </w:t>
      </w:r>
      <w:r w:rsidR="000801A7" w:rsidRPr="000801A7">
        <w:t xml:space="preserve">improvements from </w:t>
      </w:r>
      <w:r w:rsidR="0085025C">
        <w:t>one</w:t>
      </w:r>
      <w:r w:rsidR="000801A7" w:rsidRPr="000801A7">
        <w:t xml:space="preserve">-year to </w:t>
      </w:r>
      <w:r w:rsidR="0085025C">
        <w:t>two</w:t>
      </w:r>
      <w:r w:rsidR="000801A7" w:rsidRPr="000801A7">
        <w:t xml:space="preserve">-year follow-up were small and did not </w:t>
      </w:r>
      <w:r w:rsidR="00962152">
        <w:t>show significant differences</w:t>
      </w:r>
      <w:r w:rsidR="000801A7" w:rsidRPr="000801A7">
        <w:t>.</w:t>
      </w:r>
    </w:p>
    <w:p w14:paraId="2AA9C8C8" w14:textId="1DD112C1" w:rsidR="00A07F61" w:rsidRDefault="00962152" w:rsidP="00A07F61">
      <w:r w:rsidRPr="00962152">
        <w:t xml:space="preserve">Researchers concluded that </w:t>
      </w:r>
      <w:r>
        <w:t>one</w:t>
      </w:r>
      <w:r w:rsidRPr="00962152">
        <w:t xml:space="preserve">-year PROMs were as clinically reliable and meaningful as </w:t>
      </w:r>
      <w:r w:rsidR="0085025C">
        <w:t>two</w:t>
      </w:r>
      <w:r w:rsidRPr="00962152">
        <w:t xml:space="preserve">-year PROMs. While </w:t>
      </w:r>
      <w:r w:rsidR="00A07F61" w:rsidRPr="00962152">
        <w:t>long-term follow</w:t>
      </w:r>
      <w:r w:rsidR="000E6A83">
        <w:t xml:space="preserve"> </w:t>
      </w:r>
      <w:r w:rsidR="00A07F61" w:rsidRPr="00962152">
        <w:t xml:space="preserve">up after TKA remains important for implant survivorship and function, </w:t>
      </w:r>
      <w:r w:rsidRPr="00962152">
        <w:t>th</w:t>
      </w:r>
      <w:r w:rsidR="00A07F61" w:rsidRPr="00962152">
        <w:t xml:space="preserve">ese findings question the necessity of in-person visits to collect PROMs beyond </w:t>
      </w:r>
      <w:r>
        <w:t xml:space="preserve">one </w:t>
      </w:r>
      <w:r w:rsidR="00A07F61" w:rsidRPr="00962152">
        <w:t xml:space="preserve">year and suggest that </w:t>
      </w:r>
      <w:r>
        <w:t>one</w:t>
      </w:r>
      <w:r w:rsidR="00A07F61" w:rsidRPr="00962152">
        <w:t>-year outcomes are reliably predictive of longer-term outcomes for peer-reviewed publication.</w:t>
      </w:r>
    </w:p>
    <w:p w14:paraId="18A1B6F4" w14:textId="1FA4C2A1" w:rsidR="00A67DCA" w:rsidRPr="00962152" w:rsidRDefault="00A67DCA" w:rsidP="00A07F61">
      <w:r>
        <w:t xml:space="preserve">The study received the AAHKS Clinical Research Award </w:t>
      </w:r>
      <w:r w:rsidR="00BE4CDF">
        <w:t xml:space="preserve">during the 2021 Annual Meeting. This award is </w:t>
      </w:r>
      <w:r w:rsidR="00BE4CDF" w:rsidRPr="00BE4CDF">
        <w:t xml:space="preserve">given </w:t>
      </w:r>
      <w:r w:rsidR="00BE4CDF">
        <w:t xml:space="preserve">annually </w:t>
      </w:r>
      <w:r w:rsidR="00BE4CDF" w:rsidRPr="00BE4CDF">
        <w:t>in recognition of an outstanding clinical paper in the field of hip and knee arthroplasty.</w:t>
      </w:r>
    </w:p>
    <w:p w14:paraId="2B6DFE4B" w14:textId="5E4FAAE7" w:rsidR="005B07BE" w:rsidRDefault="00A07F61">
      <w:r>
        <w:t>Abstract:</w:t>
      </w:r>
      <w:r w:rsidR="005E524B">
        <w:t xml:space="preserve"> </w:t>
      </w:r>
      <w:hyperlink r:id="rId4" w:history="1">
        <w:r w:rsidR="005E524B" w:rsidRPr="00495E4C">
          <w:rPr>
            <w:rStyle w:val="Hyperlink"/>
          </w:rPr>
          <w:t>https://meeting.aahks.org/wp-content/uploads/2021-FINAL-Printed-Program-Book-pages-49.pdf</w:t>
        </w:r>
      </w:hyperlink>
      <w:r w:rsidR="005E524B">
        <w:t xml:space="preserve"> </w:t>
      </w:r>
    </w:p>
    <w:p w14:paraId="52207493" w14:textId="1D2A3A8A" w:rsidR="005B07BE" w:rsidRDefault="00E14DC4" w:rsidP="00E14DC4">
      <w:pPr>
        <w:jc w:val="center"/>
      </w:pPr>
      <w:r>
        <w:t># # #</w:t>
      </w:r>
    </w:p>
    <w:p w14:paraId="21FC050D" w14:textId="46F2EE30" w:rsidR="005B07BE" w:rsidRDefault="005B07BE">
      <w:r w:rsidRPr="005B07BE">
        <w:rPr>
          <w:b/>
          <w:bCs/>
        </w:rPr>
        <w:t>About the American Association of Hip and Knee Surgeons</w:t>
      </w:r>
      <w:r w:rsidRPr="005B07BE">
        <w:br/>
        <w:t>Established in 1991, the mission of AAHKS is to advance hip and knee patient care through education and advocacy. AAHKS has a membership of over 4,000 surgeons and other hip and knee health care professionals.</w:t>
      </w:r>
    </w:p>
    <w:sectPr w:rsidR="005B0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BE"/>
    <w:rsid w:val="000561B3"/>
    <w:rsid w:val="000801A7"/>
    <w:rsid w:val="000E6A83"/>
    <w:rsid w:val="0010269A"/>
    <w:rsid w:val="00334B7A"/>
    <w:rsid w:val="003C0B11"/>
    <w:rsid w:val="003C2436"/>
    <w:rsid w:val="004201AB"/>
    <w:rsid w:val="005B07BE"/>
    <w:rsid w:val="005E524B"/>
    <w:rsid w:val="006A7221"/>
    <w:rsid w:val="0085025C"/>
    <w:rsid w:val="00865D77"/>
    <w:rsid w:val="0088570E"/>
    <w:rsid w:val="00962152"/>
    <w:rsid w:val="00A07F61"/>
    <w:rsid w:val="00A50F25"/>
    <w:rsid w:val="00A67DCA"/>
    <w:rsid w:val="00AF095D"/>
    <w:rsid w:val="00B4281B"/>
    <w:rsid w:val="00BE4CDF"/>
    <w:rsid w:val="00CC6107"/>
    <w:rsid w:val="00E14DC4"/>
    <w:rsid w:val="00E2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62F3E"/>
  <w15:chartTrackingRefBased/>
  <w15:docId w15:val="{D6D4FEFB-5E1D-4E9B-B65C-B673E450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2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52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ing.aahks.org/wp-content/uploads/2021-FINAL-Printed-Program-Book-pages-4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Bolivar</dc:creator>
  <cp:keywords/>
  <dc:description/>
  <cp:lastModifiedBy>Amy Bolivar</cp:lastModifiedBy>
  <cp:revision>3</cp:revision>
  <dcterms:created xsi:type="dcterms:W3CDTF">2021-11-14T15:22:00Z</dcterms:created>
  <dcterms:modified xsi:type="dcterms:W3CDTF">2021-11-14T15:22:00Z</dcterms:modified>
</cp:coreProperties>
</file>